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E6" w:rsidRPr="0052663E" w:rsidRDefault="00E226E6" w:rsidP="0052663E">
      <w:pPr>
        <w:pStyle w:val="Ttulo1"/>
        <w:spacing w:before="150" w:beforeAutospacing="0" w:after="0" w:afterAutospacing="0" w:line="330" w:lineRule="atLeast"/>
        <w:ind w:left="150"/>
        <w:textAlignment w:val="baseline"/>
        <w:rPr>
          <w:rFonts w:asciiTheme="minorHAnsi" w:hAnsiTheme="minorHAnsi" w:cs="Arial"/>
          <w:color w:val="365F91" w:themeColor="accent1" w:themeShade="BF"/>
          <w:sz w:val="30"/>
          <w:szCs w:val="30"/>
        </w:rPr>
      </w:pPr>
      <w:r w:rsidRPr="0052663E">
        <w:rPr>
          <w:rFonts w:asciiTheme="minorHAnsi" w:hAnsiTheme="minorHAnsi" w:cs="Arial"/>
          <w:color w:val="365F91" w:themeColor="accent1" w:themeShade="BF"/>
          <w:sz w:val="30"/>
          <w:szCs w:val="30"/>
        </w:rPr>
        <w:t>Regra de Santa Clara - 5</w:t>
      </w:r>
    </w:p>
    <w:p w:rsidR="00E226E6" w:rsidRPr="0052663E" w:rsidRDefault="00E226E6" w:rsidP="0052663E">
      <w:pPr>
        <w:pStyle w:val="NormalWeb"/>
        <w:spacing w:before="15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365F91" w:themeColor="accent1" w:themeShade="BF"/>
          <w:sz w:val="30"/>
          <w:szCs w:val="30"/>
        </w:rPr>
      </w:pPr>
      <w:r w:rsidRPr="0052663E">
        <w:rPr>
          <w:rStyle w:val="Forte"/>
          <w:rFonts w:asciiTheme="minorHAnsi" w:hAnsiTheme="minorHAnsi" w:cs="Arial"/>
          <w:color w:val="365F91" w:themeColor="accent1" w:themeShade="BF"/>
          <w:sz w:val="30"/>
          <w:szCs w:val="30"/>
        </w:rPr>
        <w:t xml:space="preserve">Sobre o silêncio, o locutório e a </w:t>
      </w:r>
      <w:proofErr w:type="gramStart"/>
      <w:r w:rsidRPr="0052663E">
        <w:rPr>
          <w:rStyle w:val="Forte"/>
          <w:rFonts w:asciiTheme="minorHAnsi" w:hAnsiTheme="minorHAnsi" w:cs="Arial"/>
          <w:color w:val="365F91" w:themeColor="accent1" w:themeShade="BF"/>
          <w:sz w:val="30"/>
          <w:szCs w:val="30"/>
        </w:rPr>
        <w:t>grade</w:t>
      </w:r>
      <w:proofErr w:type="gramEnd"/>
    </w:p>
    <w:p w:rsidR="0052663E" w:rsidRDefault="00E226E6" w:rsidP="0052663E">
      <w:pPr>
        <w:pStyle w:val="NormalWeb"/>
        <w:spacing w:before="15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333333"/>
          <w:sz w:val="21"/>
          <w:szCs w:val="21"/>
        </w:rPr>
      </w:pPr>
      <w:proofErr w:type="gramStart"/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1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As</w:t>
      </w:r>
      <w:proofErr w:type="gramEnd"/>
      <w:r w:rsidRPr="0052663E">
        <w:rPr>
          <w:rFonts w:asciiTheme="minorHAnsi" w:hAnsiTheme="minorHAnsi" w:cs="Arial"/>
          <w:color w:val="333333"/>
          <w:sz w:val="21"/>
          <w:szCs w:val="21"/>
        </w:rPr>
        <w:t xml:space="preserve"> Irmãs, com exceção das que servem fora do mosteiro, observem o silêncio desde a hora de Completas até a Terça. </w:t>
      </w:r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2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Calem-se também continuamente na igreja e no dormitório; no refeitório, só enquanto comem; </w:t>
      </w:r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3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com exceção da enfermaria, em que as Irmãs sempre podem falar discretamente para distrair as doentes e cuidar delas.</w:t>
      </w:r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4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Mas podem insinuar o que for necessário sempre e em toda parte, brevemente e em voz baixa. </w:t>
      </w:r>
      <w:bookmarkStart w:id="0" w:name="_GoBack"/>
      <w:bookmarkEnd w:id="0"/>
    </w:p>
    <w:p w:rsidR="0052663E" w:rsidRDefault="00E226E6" w:rsidP="0052663E">
      <w:pPr>
        <w:pStyle w:val="NormalWeb"/>
        <w:spacing w:before="15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333333"/>
          <w:sz w:val="21"/>
          <w:szCs w:val="21"/>
        </w:rPr>
      </w:pPr>
      <w:r w:rsidRPr="0052663E">
        <w:rPr>
          <w:rFonts w:asciiTheme="minorHAnsi" w:hAnsiTheme="minorHAnsi" w:cs="Arial"/>
          <w:color w:val="333333"/>
          <w:sz w:val="21"/>
          <w:szCs w:val="21"/>
        </w:rPr>
        <w:br/>
      </w:r>
      <w:proofErr w:type="gramStart"/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5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Não</w:t>
      </w:r>
      <w:proofErr w:type="gramEnd"/>
      <w:r w:rsidRPr="0052663E">
        <w:rPr>
          <w:rFonts w:asciiTheme="minorHAnsi" w:hAnsiTheme="minorHAnsi" w:cs="Arial"/>
          <w:color w:val="333333"/>
          <w:sz w:val="21"/>
          <w:szCs w:val="21"/>
        </w:rPr>
        <w:t xml:space="preserve"> seja permitido às Irmãs falar no locutório ou na grade sem licença da abadessa ou de sua vigária. </w:t>
      </w:r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6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As que tiverem licença não ousem conversar no locutório a não ser na presença de duas Irmãs que as possam ouvir. </w:t>
      </w:r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7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Mas não se atrevam a chegar à grade se não estiverem presentes pelo menos três Irmãs escolhidas pela abadessa ou por sua vigária entre as oito eleitas por todas as Irmãs para o conselho da abadessa.</w:t>
      </w:r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8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A abadessa e sua vigária têm que observar essa mesma forma de falar. </w:t>
      </w:r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9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E isso só se faça rarissimamente na grade, e de maneira nenhuma na porta. </w:t>
      </w:r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10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Por dentro dessa grade ponha-se um pano, que não será removido a não ser quando se prega a palavra de Deus ou quando alguma Irmã falar a alguém. </w:t>
      </w:r>
    </w:p>
    <w:p w:rsidR="0052663E" w:rsidRDefault="00E226E6" w:rsidP="0052663E">
      <w:pPr>
        <w:pStyle w:val="NormalWeb"/>
        <w:spacing w:before="15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333333"/>
          <w:sz w:val="21"/>
          <w:szCs w:val="21"/>
        </w:rPr>
      </w:pPr>
      <w:r w:rsidRPr="0052663E">
        <w:rPr>
          <w:rFonts w:asciiTheme="minorHAnsi" w:hAnsiTheme="minorHAnsi" w:cs="Arial"/>
          <w:color w:val="333333"/>
          <w:sz w:val="21"/>
          <w:szCs w:val="21"/>
        </w:rPr>
        <w:br/>
      </w:r>
      <w:proofErr w:type="gramStart"/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11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Deve</w:t>
      </w:r>
      <w:proofErr w:type="gramEnd"/>
      <w:r w:rsidRPr="0052663E">
        <w:rPr>
          <w:rFonts w:asciiTheme="minorHAnsi" w:hAnsiTheme="minorHAnsi" w:cs="Arial"/>
          <w:color w:val="333333"/>
          <w:sz w:val="21"/>
          <w:szCs w:val="21"/>
        </w:rPr>
        <w:t xml:space="preserve"> ter também uma porta de madeira, bem defendida por duas fechaduras de ferro diferentes, ferrolhos e trancas, </w:t>
      </w:r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12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para que sejam fechadas, máxime de noite, com duas chaves, uma das quais ficará com a abadessa, e a outra com a sacristã. </w:t>
      </w:r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13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E fique sempre fechada, menos quando se ouve o ofício divino ou pelas causas acima lembradas. </w:t>
      </w:r>
    </w:p>
    <w:p w:rsidR="00E226E6" w:rsidRPr="0052663E" w:rsidRDefault="00E226E6" w:rsidP="0052663E">
      <w:pPr>
        <w:pStyle w:val="NormalWeb"/>
        <w:spacing w:before="15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333333"/>
          <w:sz w:val="21"/>
          <w:szCs w:val="21"/>
        </w:rPr>
      </w:pPr>
      <w:r w:rsidRPr="0052663E">
        <w:rPr>
          <w:rFonts w:asciiTheme="minorHAnsi" w:hAnsiTheme="minorHAnsi" w:cs="Arial"/>
          <w:color w:val="333333"/>
          <w:sz w:val="21"/>
          <w:szCs w:val="21"/>
        </w:rPr>
        <w:br/>
      </w:r>
      <w:proofErr w:type="gramStart"/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14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Ninguém</w:t>
      </w:r>
      <w:proofErr w:type="gramEnd"/>
      <w:r w:rsidRPr="0052663E">
        <w:rPr>
          <w:rFonts w:asciiTheme="minorHAnsi" w:hAnsiTheme="minorHAnsi" w:cs="Arial"/>
          <w:color w:val="333333"/>
          <w:sz w:val="21"/>
          <w:szCs w:val="21"/>
        </w:rPr>
        <w:t xml:space="preserve"> deve falar com alguém na grade, de modo algum, antes do nascer do sol ou depois do pôr do sol. </w:t>
      </w:r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15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Mas no locutório fique sempre por dentro um pano, que não deve ser removido. </w:t>
      </w:r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16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Na quaresma de São Martinho e na quaresma maior, ninguém fale no locutório, </w:t>
      </w:r>
      <w:r w:rsidRPr="0052663E">
        <w:rPr>
          <w:rFonts w:asciiTheme="minorHAnsi" w:hAnsiTheme="minorHAnsi" w:cs="Arial"/>
          <w:color w:val="FF0000"/>
          <w:sz w:val="15"/>
          <w:szCs w:val="15"/>
          <w:vertAlign w:val="superscript"/>
        </w:rPr>
        <w:t>17</w:t>
      </w:r>
      <w:r w:rsidRPr="0052663E">
        <w:rPr>
          <w:rFonts w:asciiTheme="minorHAnsi" w:hAnsiTheme="minorHAnsi" w:cs="Arial"/>
          <w:color w:val="333333"/>
          <w:sz w:val="21"/>
          <w:szCs w:val="21"/>
        </w:rPr>
        <w:t>a não ser ao sacerdote para se confessar ou por outra necessidade manifesta, o que está reservado à prudência da abadessa ou de sua vigária. </w:t>
      </w:r>
    </w:p>
    <w:p w:rsidR="00025791" w:rsidRPr="0052663E" w:rsidRDefault="00025791" w:rsidP="0052663E"/>
    <w:sectPr w:rsidR="00025791" w:rsidRPr="00526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E6"/>
    <w:rsid w:val="00025791"/>
    <w:rsid w:val="0052663E"/>
    <w:rsid w:val="00E2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22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26E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2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2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22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26E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2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2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62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1999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single" w:sz="6" w:space="0" w:color="B0B0B0"/>
                <w:bottom w:val="none" w:sz="0" w:space="0" w:color="auto"/>
                <w:right w:val="none" w:sz="0" w:space="0" w:color="auto"/>
              </w:divBdr>
              <w:divsChild>
                <w:div w:id="1592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Albano</dc:creator>
  <cp:lastModifiedBy>Cynthia Albano</cp:lastModifiedBy>
  <cp:revision>2</cp:revision>
  <dcterms:created xsi:type="dcterms:W3CDTF">2013-11-11T11:16:00Z</dcterms:created>
  <dcterms:modified xsi:type="dcterms:W3CDTF">2013-11-12T10:10:00Z</dcterms:modified>
</cp:coreProperties>
</file>